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754A" w:rsidRDefault="005A754A" w:rsidP="005A754A">
      <w:pPr>
        <w:jc w:val="center"/>
        <w:rPr>
          <w:rFonts w:ascii="Times New Roman" w:eastAsia="Times New Roman" w:hAnsi="Times New Roman" w:cs="Times New Roman"/>
          <w:color w:val="202124"/>
          <w:sz w:val="24"/>
          <w:szCs w:val="24"/>
        </w:rPr>
      </w:pPr>
    </w:p>
    <w:p w:rsidR="005A754A" w:rsidRDefault="005A754A" w:rsidP="005A754A">
      <w:pPr>
        <w:jc w:val="center"/>
        <w:rPr>
          <w:rFonts w:ascii="Times New Roman" w:eastAsia="Times New Roman" w:hAnsi="Times New Roman" w:cs="Times New Roman"/>
          <w:color w:val="202124"/>
          <w:sz w:val="24"/>
          <w:szCs w:val="24"/>
        </w:rPr>
      </w:pPr>
    </w:p>
    <w:p w:rsidR="005A754A" w:rsidRDefault="005A754A" w:rsidP="005A754A">
      <w:pPr>
        <w:jc w:val="center"/>
        <w:rPr>
          <w:rFonts w:ascii="Times New Roman" w:eastAsia="Times New Roman" w:hAnsi="Times New Roman" w:cs="Times New Roman"/>
          <w:color w:val="202124"/>
          <w:sz w:val="24"/>
          <w:szCs w:val="24"/>
        </w:rPr>
      </w:pPr>
    </w:p>
    <w:p w:rsidR="005A754A" w:rsidRDefault="005A754A" w:rsidP="005A754A">
      <w:pPr>
        <w:jc w:val="center"/>
        <w:rPr>
          <w:rFonts w:ascii="Times New Roman" w:eastAsia="Times New Roman" w:hAnsi="Times New Roman" w:cs="Times New Roman"/>
          <w:color w:val="202124"/>
          <w:sz w:val="24"/>
          <w:szCs w:val="24"/>
        </w:rPr>
      </w:pPr>
    </w:p>
    <w:p w:rsidR="005A754A" w:rsidRDefault="005A754A" w:rsidP="005A754A">
      <w:pPr>
        <w:jc w:val="center"/>
        <w:rPr>
          <w:rFonts w:ascii="Times New Roman" w:eastAsia="Times New Roman" w:hAnsi="Times New Roman" w:cs="Times New Roman"/>
          <w:color w:val="202124"/>
          <w:sz w:val="24"/>
          <w:szCs w:val="24"/>
        </w:rPr>
      </w:pPr>
    </w:p>
    <w:p w:rsidR="005A754A" w:rsidRDefault="005A754A" w:rsidP="005A754A">
      <w:pPr>
        <w:jc w:val="center"/>
        <w:rPr>
          <w:rFonts w:ascii="Times New Roman" w:eastAsia="Times New Roman" w:hAnsi="Times New Roman" w:cs="Times New Roman"/>
          <w:color w:val="202124"/>
          <w:sz w:val="24"/>
          <w:szCs w:val="24"/>
        </w:rPr>
      </w:pPr>
    </w:p>
    <w:p w:rsidR="005A754A" w:rsidRDefault="005A754A" w:rsidP="005A754A">
      <w:pPr>
        <w:jc w:val="center"/>
        <w:rPr>
          <w:rFonts w:ascii="Times New Roman" w:eastAsia="Times New Roman" w:hAnsi="Times New Roman" w:cs="Times New Roman"/>
          <w:color w:val="202124"/>
          <w:sz w:val="24"/>
          <w:szCs w:val="24"/>
        </w:rPr>
      </w:pPr>
    </w:p>
    <w:p w:rsidR="005A754A" w:rsidRDefault="005A754A" w:rsidP="005A754A">
      <w:pPr>
        <w:jc w:val="center"/>
        <w:rPr>
          <w:rFonts w:ascii="Times New Roman" w:eastAsia="Times New Roman" w:hAnsi="Times New Roman" w:cs="Times New Roman"/>
          <w:color w:val="202124"/>
          <w:sz w:val="24"/>
          <w:szCs w:val="24"/>
        </w:rPr>
      </w:pPr>
    </w:p>
    <w:p w:rsidR="005A754A" w:rsidRDefault="005A754A" w:rsidP="005A754A">
      <w:pPr>
        <w:jc w:val="center"/>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Literature review</w:t>
      </w:r>
    </w:p>
    <w:p w:rsidR="005A754A" w:rsidRDefault="005A754A" w:rsidP="005A754A">
      <w:pPr>
        <w:jc w:val="center"/>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Summary for the articles given on BFOQ</w:t>
      </w:r>
    </w:p>
    <w:p w:rsidR="005A754A" w:rsidRDefault="005A754A" w:rsidP="005A754A">
      <w:pPr>
        <w:jc w:val="center"/>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Student’s name</w:t>
      </w:r>
    </w:p>
    <w:p w:rsidR="005A754A" w:rsidRDefault="005A754A" w:rsidP="005A754A">
      <w:pPr>
        <w:jc w:val="center"/>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University</w:t>
      </w:r>
    </w:p>
    <w:p w:rsidR="005A754A" w:rsidRDefault="005A754A" w:rsidP="005A754A">
      <w:pPr>
        <w:jc w:val="center"/>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br w:type="page"/>
      </w:r>
    </w:p>
    <w:p w:rsidR="002520A7" w:rsidRDefault="002520A7" w:rsidP="002520A7">
      <w:pPr>
        <w:spacing w:after="0" w:line="420" w:lineRule="atLeast"/>
        <w:jc w:val="center"/>
        <w:outlineLvl w:val="1"/>
        <w:rPr>
          <w:rFonts w:ascii="Times New Roman" w:eastAsia="Times New Roman" w:hAnsi="Times New Roman" w:cs="Times New Roman"/>
          <w:color w:val="202124"/>
          <w:sz w:val="24"/>
          <w:szCs w:val="24"/>
        </w:rPr>
      </w:pPr>
      <w:r w:rsidRPr="00164F80">
        <w:rPr>
          <w:rFonts w:ascii="Times New Roman" w:eastAsia="Times New Roman" w:hAnsi="Times New Roman" w:cs="Times New Roman"/>
          <w:color w:val="202124"/>
          <w:sz w:val="24"/>
          <w:szCs w:val="24"/>
        </w:rPr>
        <w:lastRenderedPageBreak/>
        <w:t>Literature Review</w:t>
      </w:r>
      <w:r>
        <w:rPr>
          <w:rFonts w:ascii="Times New Roman" w:eastAsia="Times New Roman" w:hAnsi="Times New Roman" w:cs="Times New Roman"/>
          <w:color w:val="202124"/>
          <w:sz w:val="24"/>
          <w:szCs w:val="24"/>
        </w:rPr>
        <w:t>: Bona Fide Occupational Qualification (BQOF)</w:t>
      </w:r>
    </w:p>
    <w:p w:rsidR="002520A7" w:rsidRDefault="002520A7" w:rsidP="002520A7">
      <w:pPr>
        <w:spacing w:after="0" w:line="420" w:lineRule="atLeast"/>
        <w:jc w:val="center"/>
        <w:outlineLvl w:val="1"/>
        <w:rPr>
          <w:rFonts w:ascii="Times New Roman" w:eastAsia="Times New Roman" w:hAnsi="Times New Roman" w:cs="Times New Roman"/>
          <w:color w:val="202124"/>
          <w:sz w:val="24"/>
          <w:szCs w:val="24"/>
        </w:rPr>
      </w:pPr>
    </w:p>
    <w:p w:rsidR="002520A7" w:rsidRDefault="002520A7" w:rsidP="002520A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Introduction</w:t>
      </w:r>
    </w:p>
    <w:p w:rsidR="002520A7" w:rsidRDefault="002520A7" w:rsidP="002520A7">
      <w:pPr>
        <w:spacing w:after="0" w:line="480" w:lineRule="auto"/>
        <w:ind w:firstLine="720"/>
        <w:contextualSpacing/>
        <w:rPr>
          <w:rFonts w:ascii="Times New Roman" w:hAnsi="Times New Roman" w:cs="Times New Roman"/>
          <w:sz w:val="24"/>
          <w:szCs w:val="24"/>
        </w:rPr>
      </w:pPr>
      <w:r w:rsidRPr="00C20B37">
        <w:rPr>
          <w:rFonts w:ascii="Times New Roman" w:hAnsi="Times New Roman" w:cs="Times New Roman"/>
          <w:sz w:val="24"/>
          <w:szCs w:val="24"/>
        </w:rPr>
        <w:t>Bona Fide Occupational Qualification (BFOQ) can be described as the attributes or qualities of current or prospective worker which an organization is lawfully required to consider before hiring or retaining an employee</w:t>
      </w:r>
      <w:r w:rsidRPr="00C20B37">
        <w:rPr>
          <w:rFonts w:ascii="Times New Roman" w:eastAsia="Times New Roman" w:hAnsi="Times New Roman" w:cs="Times New Roman"/>
          <w:color w:val="505151"/>
          <w:sz w:val="24"/>
          <w:szCs w:val="24"/>
        </w:rPr>
        <w:t>.</w:t>
      </w:r>
      <w:r w:rsidRPr="002520A7">
        <w:rPr>
          <w:rFonts w:ascii="Times New Roman" w:eastAsia="Times New Roman" w:hAnsi="Times New Roman" w:cs="Times New Roman"/>
          <w:sz w:val="24"/>
          <w:szCs w:val="24"/>
        </w:rPr>
        <w:t xml:space="preserve"> S</w:t>
      </w:r>
      <w:r w:rsidRPr="002520A7">
        <w:rPr>
          <w:rFonts w:ascii="Times New Roman" w:hAnsi="Times New Roman" w:cs="Times New Roman"/>
          <w:sz w:val="24"/>
          <w:szCs w:val="24"/>
        </w:rPr>
        <w:t xml:space="preserve">uch </w:t>
      </w:r>
      <w:r w:rsidRPr="00C20B37">
        <w:rPr>
          <w:rFonts w:ascii="Times New Roman" w:hAnsi="Times New Roman" w:cs="Times New Roman"/>
          <w:sz w:val="24"/>
          <w:szCs w:val="24"/>
        </w:rPr>
        <w:t>qualification may comprise of national origin, age, and gender that is if they are perceived to be essential to the work requirements.  To ascertain that these qualifications are essential, a firm is required to indicate that they are paramount to the success of the operations executed or done by a particular person. Typically, BFOQ are also known as bona fide occupational requirements (BFOR)</w:t>
      </w:r>
      <w:r>
        <w:rPr>
          <w:rFonts w:ascii="Times New Roman" w:hAnsi="Times New Roman" w:cs="Times New Roman"/>
          <w:sz w:val="24"/>
          <w:szCs w:val="24"/>
        </w:rPr>
        <w:t xml:space="preserve"> (</w:t>
      </w:r>
      <w:r w:rsidRPr="00CB2668">
        <w:rPr>
          <w:rFonts w:ascii="Times New Roman" w:hAnsi="Times New Roman" w:cs="Times New Roman"/>
          <w:color w:val="222222"/>
          <w:sz w:val="24"/>
          <w:szCs w:val="24"/>
          <w:shd w:val="clear" w:color="auto" w:fill="FFFFFF"/>
        </w:rPr>
        <w:t>Zi</w:t>
      </w:r>
      <w:r>
        <w:rPr>
          <w:rFonts w:ascii="Times New Roman" w:hAnsi="Times New Roman" w:cs="Times New Roman"/>
          <w:color w:val="222222"/>
          <w:sz w:val="24"/>
          <w:szCs w:val="24"/>
          <w:shd w:val="clear" w:color="auto" w:fill="FFFFFF"/>
        </w:rPr>
        <w:t xml:space="preserve">mmer &amp; Sullivan, </w:t>
      </w:r>
      <w:r w:rsidRPr="00CB2668">
        <w:rPr>
          <w:rFonts w:ascii="Times New Roman" w:hAnsi="Times New Roman" w:cs="Times New Roman"/>
          <w:color w:val="222222"/>
          <w:sz w:val="24"/>
          <w:szCs w:val="24"/>
          <w:shd w:val="clear" w:color="auto" w:fill="FFFFFF"/>
        </w:rPr>
        <w:t>2017</w:t>
      </w:r>
      <w:r>
        <w:rPr>
          <w:rFonts w:ascii="Times New Roman" w:hAnsi="Times New Roman" w:cs="Times New Roman"/>
          <w:color w:val="222222"/>
          <w:sz w:val="24"/>
          <w:szCs w:val="24"/>
          <w:shd w:val="clear" w:color="auto" w:fill="FFFFFF"/>
        </w:rPr>
        <w:t>)</w:t>
      </w:r>
      <w:r w:rsidRPr="00C20B37">
        <w:rPr>
          <w:rFonts w:ascii="Times New Roman" w:hAnsi="Times New Roman" w:cs="Times New Roman"/>
          <w:sz w:val="24"/>
          <w:szCs w:val="24"/>
        </w:rPr>
        <w:t xml:space="preserve">. </w:t>
      </w:r>
      <w:r>
        <w:rPr>
          <w:rFonts w:ascii="Times New Roman" w:hAnsi="Times New Roman" w:cs="Times New Roman"/>
          <w:sz w:val="24"/>
          <w:szCs w:val="24"/>
        </w:rPr>
        <w:t>This paper will focus on six articles relating to BQOF analyze each and determine if they support my research question, “</w:t>
      </w:r>
      <w:r w:rsidRPr="002520A7">
        <w:rPr>
          <w:rFonts w:ascii="Times New Roman" w:hAnsi="Times New Roman" w:cs="Times New Roman"/>
          <w:sz w:val="24"/>
          <w:szCs w:val="24"/>
        </w:rPr>
        <w:t>Is Bona Fide Occupational Q</w:t>
      </w:r>
      <w:r w:rsidR="005F4206">
        <w:rPr>
          <w:rFonts w:ascii="Times New Roman" w:hAnsi="Times New Roman" w:cs="Times New Roman"/>
          <w:sz w:val="24"/>
          <w:szCs w:val="24"/>
        </w:rPr>
        <w:t xml:space="preserve">ualification still a valid </w:t>
      </w:r>
      <w:r w:rsidRPr="002520A7">
        <w:rPr>
          <w:rFonts w:ascii="Times New Roman" w:hAnsi="Times New Roman" w:cs="Times New Roman"/>
          <w:sz w:val="24"/>
          <w:szCs w:val="24"/>
        </w:rPr>
        <w:t>defense?</w:t>
      </w:r>
      <w:r>
        <w:rPr>
          <w:rFonts w:ascii="Times New Roman" w:hAnsi="Times New Roman" w:cs="Times New Roman"/>
          <w:sz w:val="24"/>
          <w:szCs w:val="24"/>
        </w:rPr>
        <w:t>”</w:t>
      </w:r>
      <w:r w:rsidRPr="002520A7">
        <w:rPr>
          <w:rFonts w:ascii="Times New Roman" w:hAnsi="Times New Roman" w:cs="Times New Roman"/>
          <w:sz w:val="24"/>
          <w:szCs w:val="24"/>
        </w:rPr>
        <w:t> </w:t>
      </w:r>
    </w:p>
    <w:p w:rsidR="00870A97" w:rsidRDefault="00870A97" w:rsidP="002520A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Article 1</w:t>
      </w:r>
    </w:p>
    <w:p w:rsidR="00870A97" w:rsidRDefault="00870A97" w:rsidP="00870A97">
      <w:pPr>
        <w:spacing w:after="0" w:line="480" w:lineRule="auto"/>
        <w:contextualSpacing/>
        <w:rPr>
          <w:rFonts w:ascii="Times New Roman" w:hAnsi="Times New Roman" w:cs="Times New Roman"/>
          <w:b/>
          <w:sz w:val="24"/>
          <w:szCs w:val="24"/>
        </w:rPr>
      </w:pPr>
      <w:r w:rsidRPr="00870A97">
        <w:rPr>
          <w:rFonts w:ascii="Times New Roman" w:hAnsi="Times New Roman" w:cs="Times New Roman"/>
          <w:b/>
          <w:sz w:val="24"/>
          <w:szCs w:val="24"/>
        </w:rPr>
        <w:t>The Failure of the Bona Fide Occupational Qualification in Cross-Gender Prison Guard Cases:</w:t>
      </w:r>
      <w:r>
        <w:rPr>
          <w:rFonts w:ascii="Times New Roman" w:hAnsi="Times New Roman" w:cs="Times New Roman"/>
          <w:b/>
          <w:sz w:val="24"/>
          <w:szCs w:val="24"/>
        </w:rPr>
        <w:t xml:space="preserve"> </w:t>
      </w:r>
      <w:r w:rsidRPr="00870A97">
        <w:rPr>
          <w:rFonts w:ascii="Times New Roman" w:hAnsi="Times New Roman" w:cs="Times New Roman"/>
          <w:b/>
          <w:sz w:val="24"/>
          <w:szCs w:val="24"/>
        </w:rPr>
        <w:t>A Problem beyond Equal Employment Opportunity</w:t>
      </w:r>
    </w:p>
    <w:p w:rsidR="008B1FAC" w:rsidRDefault="008B1FAC" w:rsidP="00A02F89">
      <w:pPr>
        <w:spacing w:after="0" w:line="480" w:lineRule="auto"/>
        <w:ind w:firstLine="720"/>
        <w:contextualSpacing/>
        <w:rPr>
          <w:rFonts w:ascii="Times New Roman" w:hAnsi="Times New Roman" w:cs="Times New Roman"/>
          <w:sz w:val="24"/>
          <w:szCs w:val="24"/>
        </w:rPr>
      </w:pPr>
      <w:r w:rsidRPr="00A02F89">
        <w:rPr>
          <w:rFonts w:ascii="Times New Roman" w:hAnsi="Times New Roman" w:cs="Times New Roman"/>
          <w:sz w:val="24"/>
          <w:szCs w:val="24"/>
        </w:rPr>
        <w:t>This article focus</w:t>
      </w:r>
      <w:r w:rsidR="00A02F89">
        <w:rPr>
          <w:rFonts w:ascii="Times New Roman" w:hAnsi="Times New Roman" w:cs="Times New Roman"/>
          <w:sz w:val="24"/>
          <w:szCs w:val="24"/>
        </w:rPr>
        <w:t>es</w:t>
      </w:r>
      <w:r w:rsidRPr="00A02F89">
        <w:rPr>
          <w:rFonts w:ascii="Times New Roman" w:hAnsi="Times New Roman" w:cs="Times New Roman"/>
          <w:sz w:val="24"/>
          <w:szCs w:val="24"/>
        </w:rPr>
        <w:t xml:space="preserve"> on two BFOQ cases in the c</w:t>
      </w:r>
      <w:r w:rsidR="00A02F89">
        <w:rPr>
          <w:rFonts w:ascii="Times New Roman" w:hAnsi="Times New Roman" w:cs="Times New Roman"/>
          <w:sz w:val="24"/>
          <w:szCs w:val="24"/>
        </w:rPr>
        <w:t>ontext of cross-gender prison g</w:t>
      </w:r>
      <w:r w:rsidRPr="00A02F89">
        <w:rPr>
          <w:rFonts w:ascii="Times New Roman" w:hAnsi="Times New Roman" w:cs="Times New Roman"/>
          <w:sz w:val="24"/>
          <w:szCs w:val="24"/>
        </w:rPr>
        <w:t>u</w:t>
      </w:r>
      <w:r w:rsidR="00A02F89">
        <w:rPr>
          <w:rFonts w:ascii="Times New Roman" w:hAnsi="Times New Roman" w:cs="Times New Roman"/>
          <w:sz w:val="24"/>
          <w:szCs w:val="24"/>
        </w:rPr>
        <w:t>a</w:t>
      </w:r>
      <w:r w:rsidRPr="00A02F89">
        <w:rPr>
          <w:rFonts w:ascii="Times New Roman" w:hAnsi="Times New Roman" w:cs="Times New Roman"/>
          <w:sz w:val="24"/>
          <w:szCs w:val="24"/>
        </w:rPr>
        <w:t>rd, where a person is employed to guard the inmates of opposite gender.</w:t>
      </w:r>
      <w:r w:rsidR="00A436B1">
        <w:rPr>
          <w:rFonts w:ascii="Times New Roman" w:hAnsi="Times New Roman" w:cs="Times New Roman"/>
          <w:sz w:val="24"/>
          <w:szCs w:val="24"/>
        </w:rPr>
        <w:t xml:space="preserve"> In this case, the mannes an womannes is being looked into and instances where a male is a guard at female prison and a female is a guard at a male prison. </w:t>
      </w:r>
      <w:r w:rsidR="00A02F89">
        <w:rPr>
          <w:rFonts w:ascii="Times New Roman" w:hAnsi="Times New Roman" w:cs="Times New Roman"/>
          <w:sz w:val="24"/>
          <w:szCs w:val="24"/>
        </w:rPr>
        <w:t>The bases which forms</w:t>
      </w:r>
      <w:r w:rsidRPr="00A02F89">
        <w:rPr>
          <w:rFonts w:ascii="Times New Roman" w:hAnsi="Times New Roman" w:cs="Times New Roman"/>
          <w:sz w:val="24"/>
          <w:szCs w:val="24"/>
        </w:rPr>
        <w:t xml:space="preserve"> area of our interest in this research regards to the Title VII of the civil rights Act which provides </w:t>
      </w:r>
      <w:r w:rsidR="00703989" w:rsidRPr="00A02F89">
        <w:rPr>
          <w:rFonts w:ascii="Times New Roman" w:hAnsi="Times New Roman" w:cs="Times New Roman"/>
          <w:sz w:val="24"/>
          <w:szCs w:val="24"/>
        </w:rPr>
        <w:t xml:space="preserve">the obligation of employer to engage a gender-based discrimination. On this, the Act protects the employers in the instances where the gender of the employee has a significant impact to the qualification of a particular job and prison guard is one of them. </w:t>
      </w:r>
      <w:r w:rsidR="00C2686A">
        <w:rPr>
          <w:rFonts w:ascii="Times New Roman" w:hAnsi="Times New Roman" w:cs="Times New Roman"/>
          <w:sz w:val="24"/>
          <w:szCs w:val="24"/>
        </w:rPr>
        <w:t xml:space="preserve">To the court, it is vital to understand the </w:t>
      </w:r>
      <w:r w:rsidR="00990D5A">
        <w:rPr>
          <w:rFonts w:ascii="Times New Roman" w:hAnsi="Times New Roman" w:cs="Times New Roman"/>
          <w:sz w:val="24"/>
          <w:szCs w:val="24"/>
        </w:rPr>
        <w:t xml:space="preserve">theories pertaining to gender in assessing this issue as omission of their explanation of their decisions on this case is really confusing. As the provisions under the Title VII of the civil rights gives equal opportunities to every gender but at these two cases, this provision is undermined. In summary, based on the two cases in this article, the BFOQ is not a valid defense for any gender to secure a job in any prison. </w:t>
      </w:r>
    </w:p>
    <w:p w:rsidR="004D1A9A" w:rsidRDefault="004D1A9A" w:rsidP="00A02F8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Article 2</w:t>
      </w:r>
    </w:p>
    <w:p w:rsidR="004D1A9A" w:rsidRDefault="004D1A9A" w:rsidP="00A724F6">
      <w:pPr>
        <w:spacing w:after="0" w:line="480" w:lineRule="auto"/>
        <w:contextualSpacing/>
        <w:rPr>
          <w:rFonts w:ascii="Times New Roman" w:hAnsi="Times New Roman" w:cs="Times New Roman"/>
          <w:b/>
          <w:sz w:val="24"/>
          <w:szCs w:val="24"/>
        </w:rPr>
      </w:pPr>
      <w:r w:rsidRPr="00A724F6">
        <w:rPr>
          <w:rFonts w:ascii="Times New Roman" w:hAnsi="Times New Roman" w:cs="Times New Roman"/>
          <w:b/>
          <w:sz w:val="24"/>
          <w:szCs w:val="24"/>
        </w:rPr>
        <w:t>Constructing age through Bona Fide Occupational Qualifications: De Jure Discrimination’s Last Stand</w:t>
      </w:r>
    </w:p>
    <w:p w:rsidR="00A724F6" w:rsidRDefault="00A724F6" w:rsidP="00A724F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Contrary to article one which BFOQ was based on gender, this article focuses on the defense of BFOQ on the bases of age towards securing certain jobs like truck driver, airline pilots and police officers. </w:t>
      </w:r>
      <w:r w:rsidR="007B37D1">
        <w:rPr>
          <w:rFonts w:ascii="Times New Roman" w:hAnsi="Times New Roman" w:cs="Times New Roman"/>
          <w:sz w:val="24"/>
          <w:szCs w:val="24"/>
        </w:rPr>
        <w:t xml:space="preserve">According to the author, the application of BFOQ defense based on age discrimination during employment comes in and ratifies inter-subjective stereotypes. He also points it out clear that the governance and managerial issues originates from the manner in which the design of policies associates the age with incapability and degeneration. </w:t>
      </w:r>
      <w:r w:rsidR="008A676A">
        <w:rPr>
          <w:rFonts w:ascii="Times New Roman" w:hAnsi="Times New Roman" w:cs="Times New Roman"/>
          <w:sz w:val="24"/>
          <w:szCs w:val="24"/>
        </w:rPr>
        <w:t>In summa</w:t>
      </w:r>
      <w:r w:rsidR="00CD5C5A">
        <w:rPr>
          <w:rFonts w:ascii="Times New Roman" w:hAnsi="Times New Roman" w:cs="Times New Roman"/>
          <w:sz w:val="24"/>
          <w:szCs w:val="24"/>
        </w:rPr>
        <w:t xml:space="preserve">ry, the article utilizes the </w:t>
      </w:r>
      <w:r w:rsidR="008A676A">
        <w:rPr>
          <w:rFonts w:ascii="Times New Roman" w:hAnsi="Times New Roman" w:cs="Times New Roman"/>
          <w:sz w:val="24"/>
          <w:szCs w:val="24"/>
        </w:rPr>
        <w:t xml:space="preserve">interpretive analysis to determine the manner in which the design of current age policy especially the use of BFOQ defense by employers, affects the social construction of age. </w:t>
      </w:r>
      <w:r w:rsidR="007B1717">
        <w:rPr>
          <w:rFonts w:ascii="Times New Roman" w:hAnsi="Times New Roman" w:cs="Times New Roman"/>
          <w:sz w:val="24"/>
          <w:szCs w:val="24"/>
        </w:rPr>
        <w:t xml:space="preserve">On this, the article supports the application of BFOQ defense claiming that its use is legal except at situations where the employer is obliged to evaluate the qualifications every applicant. For the defense to be successful the employer has to show that </w:t>
      </w:r>
      <w:r w:rsidR="009069CF">
        <w:rPr>
          <w:rFonts w:ascii="Times New Roman" w:hAnsi="Times New Roman" w:cs="Times New Roman"/>
          <w:sz w:val="24"/>
          <w:szCs w:val="24"/>
        </w:rPr>
        <w:t xml:space="preserve">although </w:t>
      </w:r>
      <w:r w:rsidR="007B1717">
        <w:rPr>
          <w:rFonts w:ascii="Times New Roman" w:hAnsi="Times New Roman" w:cs="Times New Roman"/>
          <w:sz w:val="24"/>
          <w:szCs w:val="24"/>
        </w:rPr>
        <w:t xml:space="preserve">he or she treated a certain applicant differently from other workers, the actions could still be legal because even though the member is under a protected group, he or she is unable to execute the duties that are critical to the business.  </w:t>
      </w:r>
    </w:p>
    <w:p w:rsidR="00765F6D" w:rsidRDefault="00765F6D" w:rsidP="00A724F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Article 3</w:t>
      </w:r>
    </w:p>
    <w:p w:rsidR="00765F6D" w:rsidRPr="00284F11" w:rsidRDefault="00765F6D" w:rsidP="00A724F6">
      <w:pPr>
        <w:spacing w:after="0" w:line="480" w:lineRule="auto"/>
        <w:contextualSpacing/>
        <w:rPr>
          <w:rFonts w:ascii="Times New Roman" w:hAnsi="Times New Roman" w:cs="Times New Roman"/>
          <w:b/>
          <w:sz w:val="24"/>
          <w:szCs w:val="24"/>
        </w:rPr>
      </w:pPr>
      <w:r w:rsidRPr="00284F11">
        <w:rPr>
          <w:rFonts w:ascii="Times New Roman" w:hAnsi="Times New Roman" w:cs="Times New Roman"/>
          <w:b/>
          <w:sz w:val="24"/>
          <w:szCs w:val="24"/>
        </w:rPr>
        <w:t>Gender as Bona Fide Occupational Qualification</w:t>
      </w:r>
    </w:p>
    <w:p w:rsidR="00765F6D" w:rsidRDefault="00C54249" w:rsidP="00A724F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Again we have this article by Douglas Massengill that discusses ‘sex’ as a BFOQ defenses and focuses on two instances in which the employers tries to justify their gender exclusion actions based on BFOQ. In this case the focus was made on the preference of a custom</w:t>
      </w:r>
      <w:r w:rsidR="00065665">
        <w:rPr>
          <w:rFonts w:ascii="Times New Roman" w:hAnsi="Times New Roman" w:cs="Times New Roman"/>
          <w:sz w:val="24"/>
          <w:szCs w:val="24"/>
        </w:rPr>
        <w:t xml:space="preserve">er and </w:t>
      </w:r>
      <w:r>
        <w:rPr>
          <w:rFonts w:ascii="Times New Roman" w:hAnsi="Times New Roman" w:cs="Times New Roman"/>
          <w:sz w:val="24"/>
          <w:szCs w:val="24"/>
        </w:rPr>
        <w:t xml:space="preserve">their privacy. </w:t>
      </w:r>
      <w:r w:rsidR="00065665">
        <w:rPr>
          <w:rFonts w:ascii="Times New Roman" w:hAnsi="Times New Roman" w:cs="Times New Roman"/>
          <w:sz w:val="24"/>
          <w:szCs w:val="24"/>
        </w:rPr>
        <w:t xml:space="preserve">On the case of customers’ preference, the author gives an example of Diaz v. Pan American Airways </w:t>
      </w:r>
      <w:r w:rsidR="00E31D70">
        <w:rPr>
          <w:rFonts w:ascii="Times New Roman" w:hAnsi="Times New Roman" w:cs="Times New Roman"/>
          <w:sz w:val="24"/>
          <w:szCs w:val="24"/>
        </w:rPr>
        <w:t xml:space="preserve">where the argument acme about as a result of exclusion of male attendant in the flights. The decision was made on the basis of pragmatic consideration of the job whereby the two companies showed the court that the female attendants were more superior in this jib than their counterpart male attendant. Though, the male attendants could provide same services as the females, the females were favored in that they provide assurance to the nervous passengers and the flight becomes pleasurable. </w:t>
      </w:r>
    </w:p>
    <w:p w:rsidR="00284F11" w:rsidRDefault="00284F11" w:rsidP="00A724F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second case on customer privacy </w:t>
      </w:r>
      <w:r w:rsidR="007D5DBB">
        <w:rPr>
          <w:rFonts w:ascii="Times New Roman" w:hAnsi="Times New Roman" w:cs="Times New Roman"/>
          <w:sz w:val="24"/>
          <w:szCs w:val="24"/>
        </w:rPr>
        <w:t xml:space="preserve">and gender as BFOQ involved a case of ‘Fesel v. Masonic Home’ where a male applicant had applied for a job as aide at a nursing home but his application was turned down. Upon the evaluation of the claim that the sex was a BFOQ defense, the court </w:t>
      </w:r>
      <w:r w:rsidR="008167EC">
        <w:rPr>
          <w:rFonts w:ascii="Times New Roman" w:hAnsi="Times New Roman" w:cs="Times New Roman"/>
          <w:sz w:val="24"/>
          <w:szCs w:val="24"/>
        </w:rPr>
        <w:t xml:space="preserve">eventually accepted the idea that the aspect of personal care job had interest with valid privacy and it was feasible to make selective assigning of duties based on gender. </w:t>
      </w:r>
      <w:r w:rsidR="0011047E">
        <w:rPr>
          <w:rFonts w:ascii="Times New Roman" w:hAnsi="Times New Roman" w:cs="Times New Roman"/>
          <w:sz w:val="24"/>
          <w:szCs w:val="24"/>
        </w:rPr>
        <w:t xml:space="preserve">Finally, </w:t>
      </w:r>
      <w:r w:rsidR="008167EC">
        <w:rPr>
          <w:rFonts w:ascii="Times New Roman" w:hAnsi="Times New Roman" w:cs="Times New Roman"/>
          <w:sz w:val="24"/>
          <w:szCs w:val="24"/>
        </w:rPr>
        <w:t xml:space="preserve">the ruling from court was that the nursing home had a proper establishment of the BFOQ defense on the guests’ privacy. Therefore, according to this article, the application of Bona Fide Occupational Qualification is still a valid defense and can be used in your research. </w:t>
      </w:r>
    </w:p>
    <w:p w:rsidR="0011047E" w:rsidRPr="000371EB" w:rsidRDefault="0011047E" w:rsidP="000371EB">
      <w:pPr>
        <w:spacing w:after="0" w:line="480" w:lineRule="auto"/>
        <w:contextualSpacing/>
        <w:jc w:val="center"/>
        <w:rPr>
          <w:rFonts w:ascii="Times New Roman" w:hAnsi="Times New Roman" w:cs="Times New Roman"/>
          <w:sz w:val="24"/>
          <w:szCs w:val="24"/>
        </w:rPr>
      </w:pPr>
      <w:r w:rsidRPr="000371EB">
        <w:rPr>
          <w:rFonts w:ascii="Times New Roman" w:hAnsi="Times New Roman" w:cs="Times New Roman"/>
          <w:sz w:val="24"/>
          <w:szCs w:val="24"/>
        </w:rPr>
        <w:t>Article 4</w:t>
      </w:r>
    </w:p>
    <w:p w:rsidR="0011047E" w:rsidRPr="005A754A" w:rsidRDefault="0011047E" w:rsidP="00A724F6">
      <w:pPr>
        <w:spacing w:after="0" w:line="480" w:lineRule="auto"/>
        <w:contextualSpacing/>
        <w:rPr>
          <w:rFonts w:ascii="Times New Roman" w:hAnsi="Times New Roman" w:cs="Times New Roman"/>
          <w:b/>
          <w:sz w:val="24"/>
          <w:szCs w:val="24"/>
        </w:rPr>
      </w:pPr>
      <w:r w:rsidRPr="005A754A">
        <w:rPr>
          <w:rFonts w:ascii="Times New Roman" w:hAnsi="Times New Roman" w:cs="Times New Roman"/>
          <w:b/>
          <w:sz w:val="24"/>
          <w:szCs w:val="24"/>
        </w:rPr>
        <w:t>Defending ENDA: The Ramifications of Omitting the BFOQ Defense in the Employment Non-Discrimination Act</w:t>
      </w:r>
    </w:p>
    <w:p w:rsidR="00EE2A10" w:rsidRDefault="00EE2A10" w:rsidP="005A754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Employment Non-Discrimination Act (ENDA)</w:t>
      </w:r>
      <w:r w:rsidR="008214E5">
        <w:rPr>
          <w:rFonts w:ascii="Times New Roman" w:hAnsi="Times New Roman" w:cs="Times New Roman"/>
          <w:sz w:val="24"/>
          <w:szCs w:val="24"/>
        </w:rPr>
        <w:t xml:space="preserve"> is an Act that aims at protecting the bisexual and homosexual job applicants in the America. According to this article, many people who have these types of marital status faces discrimination at the workplace</w:t>
      </w:r>
      <w:r w:rsidR="009249EC">
        <w:rPr>
          <w:rFonts w:ascii="Times New Roman" w:hAnsi="Times New Roman" w:cs="Times New Roman"/>
          <w:sz w:val="24"/>
          <w:szCs w:val="24"/>
        </w:rPr>
        <w:t xml:space="preserve"> and the employers tend to lean on the Bona Fide Occupational Qualification as the prime excuse for the exclusion of such applicants in their private business sector. </w:t>
      </w:r>
      <w:r w:rsidR="00AC67C6">
        <w:rPr>
          <w:rFonts w:ascii="Times New Roman" w:hAnsi="Times New Roman" w:cs="Times New Roman"/>
          <w:sz w:val="24"/>
          <w:szCs w:val="24"/>
        </w:rPr>
        <w:t xml:space="preserve">Under gay-oriented aspects, the assertion on efficiency of BFOQ defense is possible if it is available in the ENDA. At some points, this community would argue that some position in the organizations should be held by a homosexual or bisexual employees due to high levels of privacy concerns and the preferences of customers. </w:t>
      </w:r>
    </w:p>
    <w:p w:rsidR="00355BF9" w:rsidRDefault="00355BF9" w:rsidP="005A754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Several cases relating to defense of ENDA in BFOQ have been discussed in this article. Pragmatic analysis has been conducted and the decision of courts has as well been examined. The ultimate conclusion made by the authors is that the exclusion or inclusion of BFOQ defense in the ENDA may result to both negative and positive impacts to both gay oriented and religious businesses. Lack of any real concern or debate on inclusion or exclusion is the critical aspect that limits the defense of ENDA in the BFOQ. Though BFOQ defense is an important part of Title VII, it is sometimes asserted and unsuccessful affirmative defense. Inclusion </w:t>
      </w:r>
      <w:r w:rsidR="00AA06FE">
        <w:rPr>
          <w:rFonts w:ascii="Times New Roman" w:hAnsi="Times New Roman" w:cs="Times New Roman"/>
          <w:sz w:val="24"/>
          <w:szCs w:val="24"/>
        </w:rPr>
        <w:t>of BFOQ defense to the homosexuals an</w:t>
      </w:r>
      <w:r w:rsidR="00740851">
        <w:rPr>
          <w:rFonts w:ascii="Times New Roman" w:hAnsi="Times New Roman" w:cs="Times New Roman"/>
          <w:sz w:val="24"/>
          <w:szCs w:val="24"/>
        </w:rPr>
        <w:t xml:space="preserve">d bisexuals would enhance the </w:t>
      </w:r>
      <w:r w:rsidR="00AA06FE">
        <w:rPr>
          <w:rFonts w:ascii="Times New Roman" w:hAnsi="Times New Roman" w:cs="Times New Roman"/>
          <w:sz w:val="24"/>
          <w:szCs w:val="24"/>
        </w:rPr>
        <w:t xml:space="preserve">ENDA to reflect Title VII more closely and its exclusion would effectuate the intent of ENDA in elimination of sexual oriented discrimination in the employment. Therefore, this article has considered both sides of exclusion and inclusion of BFOQ defense in ENDA. It does not support nor oppose your research question but rather remained neutral by looking on either sides of the case. </w:t>
      </w:r>
      <w:r>
        <w:rPr>
          <w:rFonts w:ascii="Times New Roman" w:hAnsi="Times New Roman" w:cs="Times New Roman"/>
          <w:sz w:val="24"/>
          <w:szCs w:val="24"/>
        </w:rPr>
        <w:t xml:space="preserve"> </w:t>
      </w:r>
    </w:p>
    <w:p w:rsidR="00740851" w:rsidRDefault="00740851" w:rsidP="000371EB">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Article 5</w:t>
      </w:r>
    </w:p>
    <w:p w:rsidR="00740851" w:rsidRPr="007714E9" w:rsidRDefault="00740851" w:rsidP="007714E9">
      <w:pPr>
        <w:spacing w:after="0" w:line="480" w:lineRule="auto"/>
        <w:contextualSpacing/>
        <w:rPr>
          <w:rFonts w:ascii="Times New Roman" w:hAnsi="Times New Roman" w:cs="Times New Roman"/>
          <w:b/>
          <w:sz w:val="24"/>
          <w:szCs w:val="24"/>
        </w:rPr>
      </w:pPr>
      <w:r w:rsidRPr="007714E9">
        <w:rPr>
          <w:rFonts w:ascii="Times New Roman" w:hAnsi="Times New Roman" w:cs="Times New Roman"/>
          <w:b/>
          <w:sz w:val="24"/>
          <w:szCs w:val="24"/>
        </w:rPr>
        <w:t>The BFOQ Defense: Title VII’s Concession to Gender Discrimination</w:t>
      </w:r>
    </w:p>
    <w:p w:rsidR="00740851" w:rsidRDefault="000371EB" w:rsidP="005A754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Again the article present different arguments regarding the discrimination on the employability based on gender. Some opposes the defense of BFOQ presented by the employers while others do support such defense. </w:t>
      </w:r>
      <w:r w:rsidR="001F3083">
        <w:rPr>
          <w:rFonts w:ascii="Times New Roman" w:hAnsi="Times New Roman" w:cs="Times New Roman"/>
          <w:sz w:val="24"/>
          <w:szCs w:val="24"/>
        </w:rPr>
        <w:t>However, there has been inconsistency in interpretation of BFOQ de</w:t>
      </w:r>
      <w:r w:rsidR="006A41CB">
        <w:rPr>
          <w:rFonts w:ascii="Times New Roman" w:hAnsi="Times New Roman" w:cs="Times New Roman"/>
          <w:sz w:val="24"/>
          <w:szCs w:val="24"/>
        </w:rPr>
        <w:t>fense. On this, the courts carries the burden of blame as it has allowed the community stere</w:t>
      </w:r>
      <w:r w:rsidR="007714E9">
        <w:rPr>
          <w:rFonts w:ascii="Times New Roman" w:hAnsi="Times New Roman" w:cs="Times New Roman"/>
          <w:sz w:val="24"/>
          <w:szCs w:val="24"/>
        </w:rPr>
        <w:t>otypes, norms</w:t>
      </w:r>
      <w:r w:rsidR="006A41CB">
        <w:rPr>
          <w:rFonts w:ascii="Times New Roman" w:hAnsi="Times New Roman" w:cs="Times New Roman"/>
          <w:sz w:val="24"/>
          <w:szCs w:val="24"/>
        </w:rPr>
        <w:t xml:space="preserve"> and beliefs to interfere with their decisions. Sometimes, the BFOQ defense may operate at the detrimental of both men and women. Besides, the behavior of judicial system to accept the differences emanating from both genders enhances sex stereotypic statutes which should be used in eradicating them. </w:t>
      </w:r>
      <w:r w:rsidR="00C358BE">
        <w:rPr>
          <w:rFonts w:ascii="Times New Roman" w:hAnsi="Times New Roman" w:cs="Times New Roman"/>
          <w:sz w:val="24"/>
          <w:szCs w:val="24"/>
        </w:rPr>
        <w:t xml:space="preserve">Such faults are still important and relevant to consider. Nevertheless, even though there has been downfalls that limit application of BFOQ, eliminating it is still not a better solution. </w:t>
      </w:r>
      <w:r w:rsidR="0068132D">
        <w:rPr>
          <w:rFonts w:ascii="Times New Roman" w:hAnsi="Times New Roman" w:cs="Times New Roman"/>
          <w:sz w:val="24"/>
          <w:szCs w:val="24"/>
        </w:rPr>
        <w:t>Again</w:t>
      </w:r>
      <w:r w:rsidR="00C358BE">
        <w:rPr>
          <w:rFonts w:ascii="Times New Roman" w:hAnsi="Times New Roman" w:cs="Times New Roman"/>
          <w:sz w:val="24"/>
          <w:szCs w:val="24"/>
        </w:rPr>
        <w:t>, its absences renders the Title VII a sub-functional statute</w:t>
      </w:r>
      <w:r w:rsidR="0068132D">
        <w:rPr>
          <w:rFonts w:ascii="Times New Roman" w:hAnsi="Times New Roman" w:cs="Times New Roman"/>
          <w:sz w:val="24"/>
          <w:szCs w:val="24"/>
        </w:rPr>
        <w:t>.</w:t>
      </w:r>
    </w:p>
    <w:p w:rsidR="0068132D" w:rsidRDefault="0068132D" w:rsidP="005A754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Focusing on the society at large, the reality remains that some of the values that support the eradication of discrimination </w:t>
      </w:r>
      <w:r w:rsidR="007714E9">
        <w:rPr>
          <w:rFonts w:ascii="Times New Roman" w:hAnsi="Times New Roman" w:cs="Times New Roman"/>
          <w:sz w:val="24"/>
          <w:szCs w:val="24"/>
        </w:rPr>
        <w:t xml:space="preserve">acts </w:t>
      </w:r>
      <w:r>
        <w:rPr>
          <w:rFonts w:ascii="Times New Roman" w:hAnsi="Times New Roman" w:cs="Times New Roman"/>
          <w:sz w:val="24"/>
          <w:szCs w:val="24"/>
        </w:rPr>
        <w:t xml:space="preserve">in the employment process shall be spearheaded. </w:t>
      </w:r>
      <w:r w:rsidR="00F10F53">
        <w:rPr>
          <w:rFonts w:ascii="Times New Roman" w:hAnsi="Times New Roman" w:cs="Times New Roman"/>
          <w:sz w:val="24"/>
          <w:szCs w:val="24"/>
        </w:rPr>
        <w:t>To achieve that, the Bona Fide Occupational Qualification shall be an important tool in protection of such values. Essentially, the exception of different issues inherent to the BFOQ inclusion</w:t>
      </w:r>
      <w:r w:rsidR="007714E9">
        <w:rPr>
          <w:rFonts w:ascii="Times New Roman" w:hAnsi="Times New Roman" w:cs="Times New Roman"/>
          <w:sz w:val="24"/>
          <w:szCs w:val="24"/>
        </w:rPr>
        <w:t xml:space="preserve">, may lead to realization of </w:t>
      </w:r>
      <w:r w:rsidR="00F10F53">
        <w:rPr>
          <w:rFonts w:ascii="Times New Roman" w:hAnsi="Times New Roman" w:cs="Times New Roman"/>
          <w:sz w:val="24"/>
          <w:szCs w:val="24"/>
        </w:rPr>
        <w:t xml:space="preserve">expected </w:t>
      </w:r>
      <w:r w:rsidR="007714E9">
        <w:rPr>
          <w:rFonts w:ascii="Times New Roman" w:hAnsi="Times New Roman" w:cs="Times New Roman"/>
          <w:sz w:val="24"/>
          <w:szCs w:val="24"/>
        </w:rPr>
        <w:t>defense</w:t>
      </w:r>
      <w:r w:rsidR="00F10F53">
        <w:rPr>
          <w:rFonts w:ascii="Times New Roman" w:hAnsi="Times New Roman" w:cs="Times New Roman"/>
          <w:sz w:val="24"/>
          <w:szCs w:val="24"/>
        </w:rPr>
        <w:t xml:space="preserve">. Therefore, this article is quite relevant in </w:t>
      </w:r>
      <w:r w:rsidR="00C33D47">
        <w:rPr>
          <w:rFonts w:ascii="Times New Roman" w:hAnsi="Times New Roman" w:cs="Times New Roman"/>
          <w:sz w:val="24"/>
          <w:szCs w:val="24"/>
        </w:rPr>
        <w:t>answering</w:t>
      </w:r>
      <w:r w:rsidR="00F10F53">
        <w:rPr>
          <w:rFonts w:ascii="Times New Roman" w:hAnsi="Times New Roman" w:cs="Times New Roman"/>
          <w:sz w:val="24"/>
          <w:szCs w:val="24"/>
        </w:rPr>
        <w:t xml:space="preserve"> your research question, “Is the Bona Fide Occupational Qualification still a valid defense?</w:t>
      </w:r>
      <w:r w:rsidR="00C33D47">
        <w:rPr>
          <w:rFonts w:ascii="Times New Roman" w:hAnsi="Times New Roman" w:cs="Times New Roman"/>
          <w:sz w:val="24"/>
          <w:szCs w:val="24"/>
        </w:rPr>
        <w:t xml:space="preserve">” Which is YES. </w:t>
      </w:r>
    </w:p>
    <w:p w:rsidR="007714E9" w:rsidRDefault="007714E9" w:rsidP="005A754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Article 6</w:t>
      </w:r>
    </w:p>
    <w:p w:rsidR="009D5B44" w:rsidRDefault="009D5B44" w:rsidP="00DB5C13">
      <w:pPr>
        <w:spacing w:after="0" w:line="480" w:lineRule="auto"/>
        <w:ind w:firstLine="720"/>
        <w:contextualSpacing/>
        <w:rPr>
          <w:rFonts w:ascii="Times New Roman" w:hAnsi="Times New Roman" w:cs="Times New Roman"/>
          <w:b/>
          <w:sz w:val="24"/>
          <w:szCs w:val="24"/>
        </w:rPr>
      </w:pPr>
      <w:r w:rsidRPr="00DB5C13">
        <w:rPr>
          <w:rFonts w:ascii="Times New Roman" w:hAnsi="Times New Roman" w:cs="Times New Roman"/>
          <w:b/>
          <w:sz w:val="24"/>
          <w:szCs w:val="24"/>
        </w:rPr>
        <w:t>Feature: Weighing The Balance: The Bona Fide Occupational Qualification Exception Allows Employers To Hire Only Those Who Pass Specific Size And Weight Requirements, 35 Los Angeles Lawyer 36.</w:t>
      </w:r>
    </w:p>
    <w:p w:rsidR="00DB5C13" w:rsidRPr="00DB5C13" w:rsidRDefault="00DB5C13" w:rsidP="00DB5C13">
      <w:pPr>
        <w:spacing w:after="0" w:line="480" w:lineRule="auto"/>
        <w:contextualSpacing/>
        <w:rPr>
          <w:rFonts w:ascii="Times New Roman" w:hAnsi="Times New Roman" w:cs="Times New Roman"/>
          <w:sz w:val="24"/>
          <w:szCs w:val="24"/>
        </w:rPr>
      </w:pPr>
      <w:r w:rsidRPr="00DB5C13">
        <w:rPr>
          <w:rFonts w:ascii="Times New Roman" w:hAnsi="Times New Roman" w:cs="Times New Roman"/>
          <w:sz w:val="24"/>
          <w:szCs w:val="24"/>
        </w:rPr>
        <w:t xml:space="preserve">This article by Wesierski and Amini </w:t>
      </w:r>
      <w:r>
        <w:rPr>
          <w:rFonts w:ascii="Times New Roman" w:hAnsi="Times New Roman" w:cs="Times New Roman"/>
          <w:sz w:val="24"/>
          <w:szCs w:val="24"/>
        </w:rPr>
        <w:t xml:space="preserve">portrays another critical issue that some employers do consider during employment process. Obesity and issues to do with physical fitness are some of the factors that may limit an individual from acquiring some jobs. The article gives various example relating to this issue one of which involves the airlines attendants where the male and female employee are required to conform to some guidelines relating to weight and height. </w:t>
      </w:r>
      <w:r w:rsidR="00AE60CC">
        <w:rPr>
          <w:rFonts w:ascii="Times New Roman" w:hAnsi="Times New Roman" w:cs="Times New Roman"/>
          <w:sz w:val="24"/>
          <w:szCs w:val="24"/>
        </w:rPr>
        <w:t xml:space="preserve">On this, the applicability of Bona Fide Occupational Qualification fits well as some employers may provide a preferential selection of applicants on the bases of weight. However, for this defense to work effectively, the employer have to provide a strong reasons which will convince the parties involved that employing an overweight staff is not reasonable for a particular job. </w:t>
      </w:r>
      <w:bookmarkStart w:id="0" w:name="_GoBack"/>
      <w:bookmarkEnd w:id="0"/>
      <w:r>
        <w:rPr>
          <w:rFonts w:ascii="Times New Roman" w:hAnsi="Times New Roman" w:cs="Times New Roman"/>
          <w:sz w:val="24"/>
          <w:szCs w:val="24"/>
        </w:rPr>
        <w:t xml:space="preserve">  </w:t>
      </w:r>
    </w:p>
    <w:p w:rsidR="00DB5C13" w:rsidRPr="00DB5C13" w:rsidRDefault="00DB5C13" w:rsidP="00DB5C13">
      <w:pPr>
        <w:spacing w:after="0" w:line="480" w:lineRule="auto"/>
        <w:contextualSpacing/>
        <w:rPr>
          <w:rFonts w:ascii="Times New Roman" w:hAnsi="Times New Roman" w:cs="Times New Roman"/>
          <w:b/>
          <w:sz w:val="24"/>
          <w:szCs w:val="24"/>
        </w:rPr>
      </w:pPr>
    </w:p>
    <w:p w:rsidR="0011047E" w:rsidRPr="00A724F6" w:rsidRDefault="0011047E" w:rsidP="00A724F6">
      <w:pPr>
        <w:spacing w:after="0" w:line="480" w:lineRule="auto"/>
        <w:contextualSpacing/>
        <w:rPr>
          <w:rFonts w:ascii="Times New Roman" w:hAnsi="Times New Roman" w:cs="Times New Roman"/>
          <w:sz w:val="24"/>
          <w:szCs w:val="24"/>
        </w:rPr>
      </w:pPr>
    </w:p>
    <w:p w:rsidR="004D1A9A" w:rsidRPr="00A02F89" w:rsidRDefault="004D1A9A" w:rsidP="00A02F89">
      <w:pPr>
        <w:spacing w:after="0" w:line="480" w:lineRule="auto"/>
        <w:ind w:firstLine="720"/>
        <w:contextualSpacing/>
        <w:rPr>
          <w:rFonts w:ascii="Times New Roman" w:hAnsi="Times New Roman" w:cs="Times New Roman"/>
          <w:sz w:val="24"/>
          <w:szCs w:val="24"/>
        </w:rPr>
      </w:pPr>
    </w:p>
    <w:p w:rsidR="00870A97" w:rsidRPr="00870A97" w:rsidRDefault="00870A97" w:rsidP="00870A97">
      <w:pPr>
        <w:spacing w:after="0" w:line="480" w:lineRule="auto"/>
        <w:contextualSpacing/>
        <w:rPr>
          <w:rFonts w:ascii="Times New Roman" w:hAnsi="Times New Roman" w:cs="Times New Roman"/>
          <w:b/>
          <w:sz w:val="24"/>
          <w:szCs w:val="24"/>
        </w:rPr>
      </w:pPr>
    </w:p>
    <w:p w:rsidR="002520A7" w:rsidRPr="00C20B37" w:rsidRDefault="002520A7" w:rsidP="002520A7">
      <w:pPr>
        <w:spacing w:after="0" w:line="480" w:lineRule="auto"/>
        <w:ind w:firstLine="720"/>
        <w:contextualSpacing/>
        <w:rPr>
          <w:rFonts w:ascii="Times New Roman" w:eastAsia="Times New Roman" w:hAnsi="Times New Roman" w:cs="Times New Roman"/>
          <w:color w:val="505151"/>
          <w:sz w:val="24"/>
          <w:szCs w:val="24"/>
        </w:rPr>
      </w:pPr>
    </w:p>
    <w:p w:rsidR="00557BEF" w:rsidRDefault="00557BEF"/>
    <w:sectPr w:rsidR="00557BEF" w:rsidSect="005A754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5AA2" w:rsidRDefault="00455AA2" w:rsidP="005A754A">
      <w:pPr>
        <w:spacing w:after="0" w:line="240" w:lineRule="auto"/>
      </w:pPr>
      <w:r>
        <w:separator/>
      </w:r>
    </w:p>
  </w:endnote>
  <w:endnote w:type="continuationSeparator" w:id="0">
    <w:p w:rsidR="00455AA2" w:rsidRDefault="00455AA2" w:rsidP="005A7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5AA2" w:rsidRDefault="00455AA2" w:rsidP="005A754A">
      <w:pPr>
        <w:spacing w:after="0" w:line="240" w:lineRule="auto"/>
      </w:pPr>
      <w:r>
        <w:separator/>
      </w:r>
    </w:p>
  </w:footnote>
  <w:footnote w:type="continuationSeparator" w:id="0">
    <w:p w:rsidR="00455AA2" w:rsidRDefault="00455AA2" w:rsidP="005A75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54A" w:rsidRDefault="005A754A" w:rsidP="005A754A">
    <w:pPr>
      <w:pStyle w:val="Header"/>
      <w:tabs>
        <w:tab w:val="clear" w:pos="4680"/>
      </w:tabs>
    </w:pPr>
    <w:r w:rsidRPr="005A754A">
      <w:rPr>
        <w:rFonts w:ascii="Times New Roman" w:hAnsi="Times New Roman" w:cs="Times New Roman"/>
        <w:sz w:val="24"/>
      </w:rPr>
      <w:t>BFOQ</w:t>
    </w:r>
    <w:r w:rsidRPr="005A754A">
      <w:rPr>
        <w:rFonts w:ascii="Times New Roman" w:hAnsi="Times New Roman" w:cs="Times New Roman"/>
        <w:sz w:val="24"/>
      </w:rPr>
      <w:tab/>
    </w:r>
    <w:r w:rsidRPr="005A754A">
      <w:rPr>
        <w:rFonts w:ascii="Times New Roman" w:hAnsi="Times New Roman" w:cs="Times New Roman"/>
        <w:sz w:val="24"/>
      </w:rPr>
      <w:fldChar w:fldCharType="begin"/>
    </w:r>
    <w:r w:rsidRPr="005A754A">
      <w:rPr>
        <w:rFonts w:ascii="Times New Roman" w:hAnsi="Times New Roman" w:cs="Times New Roman"/>
        <w:sz w:val="24"/>
      </w:rPr>
      <w:instrText xml:space="preserve"> PAGE   \* MERGEFORMAT </w:instrText>
    </w:r>
    <w:r w:rsidRPr="005A754A">
      <w:rPr>
        <w:rFonts w:ascii="Times New Roman" w:hAnsi="Times New Roman" w:cs="Times New Roman"/>
        <w:sz w:val="24"/>
      </w:rPr>
      <w:fldChar w:fldCharType="separate"/>
    </w:r>
    <w:r w:rsidR="00AE60CC">
      <w:rPr>
        <w:rFonts w:ascii="Times New Roman" w:hAnsi="Times New Roman" w:cs="Times New Roman"/>
        <w:noProof/>
        <w:sz w:val="24"/>
      </w:rPr>
      <w:t>7</w:t>
    </w:r>
    <w:r w:rsidRPr="005A754A">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54A" w:rsidRPr="005A754A" w:rsidRDefault="005A754A" w:rsidP="005A754A">
    <w:pPr>
      <w:pStyle w:val="Header"/>
      <w:tabs>
        <w:tab w:val="clear" w:pos="4680"/>
      </w:tabs>
      <w:rPr>
        <w:rFonts w:ascii="Times New Roman" w:hAnsi="Times New Roman" w:cs="Times New Roman"/>
        <w:sz w:val="24"/>
      </w:rPr>
    </w:pPr>
    <w:r w:rsidRPr="005A754A">
      <w:rPr>
        <w:rFonts w:ascii="Times New Roman" w:hAnsi="Times New Roman" w:cs="Times New Roman"/>
        <w:sz w:val="24"/>
      </w:rPr>
      <w:t>Running head: BFOQ</w:t>
    </w:r>
    <w:r w:rsidRPr="005A754A">
      <w:rPr>
        <w:rFonts w:ascii="Times New Roman" w:hAnsi="Times New Roman" w:cs="Times New Roman"/>
        <w:sz w:val="24"/>
      </w:rPr>
      <w:tab/>
    </w:r>
    <w:r w:rsidRPr="005A754A">
      <w:rPr>
        <w:rFonts w:ascii="Times New Roman" w:hAnsi="Times New Roman" w:cs="Times New Roman"/>
        <w:sz w:val="24"/>
      </w:rPr>
      <w:fldChar w:fldCharType="begin"/>
    </w:r>
    <w:r w:rsidRPr="005A754A">
      <w:rPr>
        <w:rFonts w:ascii="Times New Roman" w:hAnsi="Times New Roman" w:cs="Times New Roman"/>
        <w:sz w:val="24"/>
      </w:rPr>
      <w:instrText xml:space="preserve"> PAGE   \* MERGEFORMAT </w:instrText>
    </w:r>
    <w:r w:rsidRPr="005A754A">
      <w:rPr>
        <w:rFonts w:ascii="Times New Roman" w:hAnsi="Times New Roman" w:cs="Times New Roman"/>
        <w:sz w:val="24"/>
      </w:rPr>
      <w:fldChar w:fldCharType="separate"/>
    </w:r>
    <w:r w:rsidR="00455AA2">
      <w:rPr>
        <w:rFonts w:ascii="Times New Roman" w:hAnsi="Times New Roman" w:cs="Times New Roman"/>
        <w:noProof/>
        <w:sz w:val="24"/>
      </w:rPr>
      <w:t>1</w:t>
    </w:r>
    <w:r w:rsidRPr="005A754A">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BEF"/>
    <w:rsid w:val="00001D4B"/>
    <w:rsid w:val="000371EB"/>
    <w:rsid w:val="0004551F"/>
    <w:rsid w:val="00065665"/>
    <w:rsid w:val="0011047E"/>
    <w:rsid w:val="001F3083"/>
    <w:rsid w:val="002520A7"/>
    <w:rsid w:val="00284F11"/>
    <w:rsid w:val="00355BF9"/>
    <w:rsid w:val="00455AA2"/>
    <w:rsid w:val="004D1A9A"/>
    <w:rsid w:val="00557BEF"/>
    <w:rsid w:val="005A754A"/>
    <w:rsid w:val="005F4206"/>
    <w:rsid w:val="0068132D"/>
    <w:rsid w:val="006A41CB"/>
    <w:rsid w:val="00703989"/>
    <w:rsid w:val="00740851"/>
    <w:rsid w:val="00765F6D"/>
    <w:rsid w:val="007714E9"/>
    <w:rsid w:val="007B1717"/>
    <w:rsid w:val="007B37D1"/>
    <w:rsid w:val="007D5DBB"/>
    <w:rsid w:val="008167EC"/>
    <w:rsid w:val="008214E5"/>
    <w:rsid w:val="00870A97"/>
    <w:rsid w:val="008A676A"/>
    <w:rsid w:val="008B1FAC"/>
    <w:rsid w:val="009069CF"/>
    <w:rsid w:val="009249EC"/>
    <w:rsid w:val="009503AC"/>
    <w:rsid w:val="00990D5A"/>
    <w:rsid w:val="009D5B44"/>
    <w:rsid w:val="00A02F89"/>
    <w:rsid w:val="00A436B1"/>
    <w:rsid w:val="00A724F6"/>
    <w:rsid w:val="00AA06FE"/>
    <w:rsid w:val="00AC67C6"/>
    <w:rsid w:val="00AE60CC"/>
    <w:rsid w:val="00C11818"/>
    <w:rsid w:val="00C2686A"/>
    <w:rsid w:val="00C33D47"/>
    <w:rsid w:val="00C358BE"/>
    <w:rsid w:val="00C54249"/>
    <w:rsid w:val="00CD5C5A"/>
    <w:rsid w:val="00DB5C13"/>
    <w:rsid w:val="00E31D70"/>
    <w:rsid w:val="00EE2A10"/>
    <w:rsid w:val="00F10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886384B-DF2B-4F35-87BE-3FADC34A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7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54A"/>
  </w:style>
  <w:style w:type="paragraph" w:styleId="Footer">
    <w:name w:val="footer"/>
    <w:basedOn w:val="Normal"/>
    <w:link w:val="FooterChar"/>
    <w:uiPriority w:val="99"/>
    <w:unhideWhenUsed/>
    <w:rsid w:val="005A7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976</TotalTime>
  <Pages>7</Pages>
  <Words>1486</Words>
  <Characters>8471</Characters>
  <Application>Microsoft Office Word</Application>
  <DocSecurity>0</DocSecurity>
  <Lines>70</Lines>
  <Paragraphs>19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Literature Review: Bona Fide Occupational Qualification (BQOF)</vt:lpstr>
      <vt:lpstr>    </vt:lpstr>
    </vt:vector>
  </TitlesOfParts>
  <Company/>
  <LinksUpToDate>false</LinksUpToDate>
  <CharactersWithSpaces>9938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hp15</dc:creator>
  <cp:keywords/>
  <dc:description/>
  <cp:lastModifiedBy>hp15</cp:lastModifiedBy>
  <cp:revision>23</cp:revision>
  <dcterms:created xsi:type="dcterms:W3CDTF">2019-03-06T11:24:00Z</dcterms:created>
  <dcterms:modified xsi:type="dcterms:W3CDTF">2019-03-12T20:33:00Z</dcterms:modified>
</cp:coreProperties>
</file>